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C0" w:rsidRDefault="005B0044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94BC0" w:rsidRDefault="005B0044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C94BC0" w:rsidRDefault="00C94BC0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C94BC0" w:rsidTr="007D3D35">
        <w:trPr>
          <w:trHeight w:val="520"/>
        </w:trPr>
        <w:tc>
          <w:tcPr>
            <w:tcW w:w="576" w:type="dxa"/>
            <w:vMerge w:val="restart"/>
            <w:vAlign w:val="center"/>
          </w:tcPr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0" w:type="dxa"/>
            <w:gridSpan w:val="8"/>
            <w:vAlign w:val="center"/>
          </w:tcPr>
          <w:p w:rsidR="00C94BC0" w:rsidRDefault="005B004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C94BC0" w:rsidTr="007D3D35">
        <w:tc>
          <w:tcPr>
            <w:tcW w:w="576" w:type="dxa"/>
            <w:vMerge/>
            <w:vAlign w:val="center"/>
          </w:tcPr>
          <w:p w:rsidR="00C94BC0" w:rsidRDefault="00C94BC0"/>
        </w:tc>
        <w:tc>
          <w:tcPr>
            <w:tcW w:w="720" w:type="dxa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C94BC0" w:rsidRDefault="005B0044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C94BC0" w:rsidRDefault="00C94BC0"/>
        </w:tc>
        <w:tc>
          <w:tcPr>
            <w:tcW w:w="575" w:type="dxa"/>
            <w:vAlign w:val="center"/>
          </w:tcPr>
          <w:p w:rsidR="00C94BC0" w:rsidRDefault="005B004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D3D35" w:rsidTr="007D3D35">
        <w:trPr>
          <w:trHeight w:val="53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6904" w:type="dxa"/>
            <w:gridSpan w:val="4"/>
          </w:tcPr>
          <w:p w:rsidR="007D3D35" w:rsidRDefault="007D3D35" w:rsidP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306" w:type="dxa"/>
            <w:gridSpan w:val="4"/>
          </w:tcPr>
          <w:p w:rsidR="007D3D35" w:rsidRDefault="007D3D35" w:rsidP="007A575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7D3D35" w:rsidTr="007D3D35">
        <w:trPr>
          <w:trHeight w:val="449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D3D35" w:rsidTr="007D3D35">
        <w:trPr>
          <w:trHeight w:val="106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</w:tcPr>
          <w:p w:rsidR="007D3D35" w:rsidRDefault="00C64E29" w:rsidP="00C64E29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в Едином государственном реестре недвижимости (далее - ЕГРН) в течение одного года двух и более фактов расхождения (</w:t>
            </w:r>
            <w:r w:rsidRPr="00A17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</w:t>
            </w:r>
            <w:r w:rsidRPr="00C64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информационного взаимодействия и (или) сведениями, имеющимися в распоряжении контрольного органа;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D32AD" w:rsidTr="00AD32AD">
        <w:trPr>
          <w:trHeight w:val="652"/>
        </w:trPr>
        <w:tc>
          <w:tcPr>
            <w:tcW w:w="576" w:type="dxa"/>
            <w:vMerge/>
          </w:tcPr>
          <w:p w:rsidR="00AD32AD" w:rsidRDefault="00AD32AD"/>
        </w:tc>
        <w:tc>
          <w:tcPr>
            <w:tcW w:w="4316" w:type="dxa"/>
            <w:gridSpan w:val="2"/>
            <w:vMerge w:val="restart"/>
            <w:vAlign w:val="center"/>
          </w:tcPr>
          <w:p w:rsidR="00AD32AD" w:rsidRPr="00AD32AD" w:rsidRDefault="00AD32AD" w:rsidP="00AD32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32AD">
              <w:rPr>
                <w:rFonts w:ascii="PT Astra Serif" w:hAnsi="PT Astra Serif" w:cs="Times New Roman"/>
                <w:sz w:val="24"/>
                <w:szCs w:val="24"/>
              </w:rPr>
              <w:t>Земельный кодекс Российской Федерации от 25.10.2001 №136-ФЗ</w:t>
            </w:r>
          </w:p>
          <w:p w:rsidR="00AD32AD" w:rsidRPr="00AD32AD" w:rsidRDefault="00AD32AD" w:rsidP="00DB4C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AD32AD" w:rsidRPr="00AD32AD" w:rsidRDefault="00AD32AD" w:rsidP="00C17EC3">
            <w:pPr>
              <w:rPr>
                <w:rFonts w:ascii="PT Astra Serif" w:hAnsi="PT Astra Serif"/>
                <w:sz w:val="24"/>
                <w:szCs w:val="24"/>
              </w:rPr>
            </w:pPr>
            <w:r w:rsidRPr="00AD32AD">
              <w:rPr>
                <w:rFonts w:ascii="PT Astra Serif" w:hAnsi="PT Astra Serif"/>
                <w:sz w:val="24"/>
                <w:szCs w:val="24"/>
              </w:rPr>
              <w:t>Пункт 1 статьи 25</w:t>
            </w:r>
          </w:p>
        </w:tc>
        <w:tc>
          <w:tcPr>
            <w:tcW w:w="4861" w:type="dxa"/>
            <w:gridSpan w:val="2"/>
          </w:tcPr>
          <w:p w:rsidR="00AD32AD" w:rsidRPr="00AD32AD" w:rsidRDefault="00AD32AD">
            <w:pPr>
              <w:pStyle w:val="af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D32AD" w:rsidTr="00273C11">
        <w:trPr>
          <w:trHeight w:val="1568"/>
        </w:trPr>
        <w:tc>
          <w:tcPr>
            <w:tcW w:w="576" w:type="dxa"/>
            <w:vMerge/>
          </w:tcPr>
          <w:p w:rsidR="00AD32AD" w:rsidRDefault="00AD32AD"/>
        </w:tc>
        <w:tc>
          <w:tcPr>
            <w:tcW w:w="4316" w:type="dxa"/>
            <w:gridSpan w:val="2"/>
            <w:vMerge/>
          </w:tcPr>
          <w:p w:rsidR="00AD32AD" w:rsidRPr="00AD32AD" w:rsidRDefault="00AD32A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AD32AD" w:rsidRPr="00AD32AD" w:rsidRDefault="00AD32AD" w:rsidP="00C17EC3">
            <w:pPr>
              <w:rPr>
                <w:rFonts w:ascii="PT Astra Serif" w:hAnsi="PT Astra Serif"/>
                <w:sz w:val="24"/>
                <w:szCs w:val="24"/>
              </w:rPr>
            </w:pPr>
            <w:r w:rsidRPr="00AD32AD">
              <w:rPr>
                <w:rFonts w:ascii="PT Astra Serif" w:hAnsi="PT Astra Serif"/>
                <w:sz w:val="24"/>
                <w:szCs w:val="24"/>
              </w:rPr>
              <w:t>Пункт 1 статьи 26</w:t>
            </w:r>
          </w:p>
        </w:tc>
        <w:tc>
          <w:tcPr>
            <w:tcW w:w="4861" w:type="dxa"/>
            <w:gridSpan w:val="2"/>
          </w:tcPr>
          <w:p w:rsidR="00AD32AD" w:rsidRPr="00AD32AD" w:rsidRDefault="00AD32AD">
            <w:pPr>
              <w:pStyle w:val="af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3D35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 w:val="restart"/>
          </w:tcPr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sub_4535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4536"/>
            <w:bookmarkEnd w:id="0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  <w:bookmarkEnd w:id="1"/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пользовании граждан или организаций, к которым предъявляются обязательные требования (далее - производственные</w:t>
            </w:r>
            <w:proofErr w:type="gramEnd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объекты).</w:t>
            </w:r>
          </w:p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0C21D5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624613">
              <w:rPr>
                <w:rFonts w:ascii="Times New Roman" w:hAnsi="Times New Roman" w:cs="Times New Roman"/>
                <w:iCs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624613">
        <w:trPr>
          <w:trHeight w:val="110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0C21D5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624613">
              <w:rPr>
                <w:rFonts w:ascii="Times New Roman" w:hAnsi="Times New Roman" w:cs="Times New Roman"/>
                <w:iCs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 w:val="restart"/>
            <w:vAlign w:val="center"/>
          </w:tcPr>
          <w:p w:rsidR="00624613" w:rsidRPr="00624613" w:rsidRDefault="00624613" w:rsidP="0062461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24613"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  <w:proofErr w:type="gramEnd"/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  <w:vAlign w:val="center"/>
          </w:tcPr>
          <w:p w:rsidR="00624613" w:rsidRDefault="0062461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613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Default="005828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828DC">
              <w:rPr>
                <w:rFonts w:ascii="Times New Roman" w:hAnsi="Times New Roman" w:cs="Times New Roman"/>
              </w:rPr>
              <w:t>1 год</w:t>
            </w:r>
          </w:p>
        </w:tc>
      </w:tr>
      <w:tr w:rsidR="007D3D35" w:rsidTr="007D3D35">
        <w:trPr>
          <w:trHeight w:val="456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Default="005828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828DC">
              <w:rPr>
                <w:rFonts w:ascii="Times New Roman" w:hAnsi="Times New Roman" w:cs="Times New Roman"/>
              </w:rPr>
              <w:t>N = A&gt;= 2</w:t>
            </w:r>
          </w:p>
        </w:tc>
      </w:tr>
      <w:tr w:rsidR="007D3D35" w:rsidTr="007D3D35">
        <w:trPr>
          <w:trHeight w:val="49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  <w:vMerge w:val="restart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5033" w:type="dxa"/>
            <w:gridSpan w:val="4"/>
            <w:vMerge w:val="restart"/>
          </w:tcPr>
          <w:p w:rsidR="000C08A9" w:rsidRDefault="00785AA5" w:rsidP="00E161FD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1" w:type="dxa"/>
            <w:gridSpan w:val="2"/>
            <w:vMerge w:val="restart"/>
          </w:tcPr>
          <w:p w:rsidR="000C08A9" w:rsidRDefault="00785AA5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785AA5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Pr="00785AA5">
              <w:rPr>
                <w:rFonts w:ascii="Times New Roman" w:hAnsi="Times New Roman" w:cs="Times New Roman"/>
              </w:rPr>
              <w:t xml:space="preserve"> реестр недвижимости</w:t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 </w:t>
            </w:r>
          </w:p>
        </w:tc>
        <w:tc>
          <w:tcPr>
            <w:tcW w:w="5033" w:type="dxa"/>
            <w:gridSpan w:val="4"/>
          </w:tcPr>
          <w:p w:rsidR="000C08A9" w:rsidRDefault="00E161FD">
            <w:pPr>
              <w:pStyle w:val="af8"/>
              <w:rPr>
                <w:rFonts w:ascii="Times New Roman" w:hAnsi="Times New Roman" w:cs="Times New Roman"/>
              </w:rPr>
            </w:pPr>
            <w:r w:rsidRPr="00E161FD">
              <w:rPr>
                <w:rFonts w:ascii="Times New Roman" w:hAnsi="Times New Roman" w:cs="Times New Roman"/>
              </w:rPr>
              <w:t>Количество фактов несоответствия (расхождения) сведений (за 1 год)</w:t>
            </w:r>
          </w:p>
        </w:tc>
        <w:tc>
          <w:tcPr>
            <w:tcW w:w="4861" w:type="dxa"/>
            <w:gridSpan w:val="2"/>
          </w:tcPr>
          <w:p w:rsidR="000C08A9" w:rsidRDefault="00E161FD" w:rsidP="00E161F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61FD">
              <w:rPr>
                <w:rFonts w:ascii="Times New Roman" w:hAnsi="Times New Roman" w:cs="Times New Roman"/>
              </w:rPr>
              <w:t xml:space="preserve">ведения, </w:t>
            </w:r>
            <w:proofErr w:type="gramStart"/>
            <w:r w:rsidRPr="00E161FD">
              <w:rPr>
                <w:rFonts w:ascii="Times New Roman" w:hAnsi="Times New Roman" w:cs="Times New Roman"/>
              </w:rPr>
              <w:t>имеющимися</w:t>
            </w:r>
            <w:proofErr w:type="gramEnd"/>
            <w:r w:rsidRPr="00E161FD">
              <w:rPr>
                <w:rFonts w:ascii="Times New Roman" w:hAnsi="Times New Roman" w:cs="Times New Roman"/>
              </w:rPr>
              <w:t xml:space="preserve"> в распоряжении контрольного органа</w:t>
            </w:r>
          </w:p>
        </w:tc>
      </w:tr>
      <w:tr w:rsidR="000C08A9" w:rsidTr="007D3D35">
        <w:trPr>
          <w:trHeight w:val="1236"/>
        </w:trPr>
        <w:tc>
          <w:tcPr>
            <w:tcW w:w="576" w:type="dxa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  <w:vAlign w:val="center"/>
          </w:tcPr>
          <w:p w:rsidR="00E161FD" w:rsidRDefault="00E161FD"/>
        </w:tc>
        <w:tc>
          <w:tcPr>
            <w:tcW w:w="720" w:type="dxa"/>
            <w:vMerge w:val="restart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</w:tcPr>
          <w:p w:rsidR="00E161FD" w:rsidRDefault="00E161FD" w:rsidP="007A5753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Свидетельство регистрации права собственности на земельный участок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  <w:vMerge w:val="restart"/>
          </w:tcPr>
          <w:p w:rsidR="00E161FD" w:rsidRDefault="00E161FD" w:rsidP="007A5753">
            <w:r>
              <w:rPr>
                <w:rFonts w:ascii="Times New Roman" w:hAnsi="Times New Roman" w:cs="Times New Roman"/>
              </w:rPr>
              <w:t>Договор аренды земельного участка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</w:tcPr>
          <w:p w:rsidR="00E161FD" w:rsidRPr="00E161FD" w:rsidRDefault="00E161FD" w:rsidP="007A575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E161FD">
              <w:rPr>
                <w:rFonts w:ascii="Times New Roman" w:hAnsi="Times New Roman" w:cs="Times New Roman"/>
                <w:bCs/>
              </w:rPr>
              <w:t>Выписка из ЕГРН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E161FD" w:rsidRPr="002B459F" w:rsidRDefault="002B459F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2B459F">
              <w:rPr>
                <w:rFonts w:ascii="Times New Roman" w:hAnsi="Times New Roman" w:cs="Times New Roman"/>
                <w:iCs/>
              </w:rPr>
              <w:t xml:space="preserve">Сведения полученными в порядке межведомственного информационного </w:t>
            </w:r>
            <w:r w:rsidRPr="002B459F">
              <w:rPr>
                <w:rFonts w:ascii="Times New Roman" w:hAnsi="Times New Roman" w:cs="Times New Roman"/>
                <w:iCs/>
              </w:rPr>
              <w:lastRenderedPageBreak/>
              <w:t>взаимодействия, и (или) сведениями, имеющимися в распоряжении контрольного органа</w:t>
            </w:r>
          </w:p>
        </w:tc>
      </w:tr>
      <w:tr w:rsidR="00891CB9" w:rsidTr="00A73A6B">
        <w:trPr>
          <w:trHeight w:val="1528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Align w:val="center"/>
          </w:tcPr>
          <w:p w:rsidR="00891CB9" w:rsidRDefault="00891C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891CB9" w:rsidRDefault="00891C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891CB9" w:rsidRDefault="00891CB9" w:rsidP="00205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  <w:p w:rsidR="00891CB9" w:rsidRDefault="00891CB9" w:rsidP="00205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  <w:p w:rsidR="00891CB9" w:rsidRDefault="00891CB9" w:rsidP="00205640">
            <w:pPr>
              <w:jc w:val="both"/>
              <w:rPr>
                <w:rFonts w:ascii="Times New Roman" w:hAnsi="Times New Roman" w:cs="Times New Roman"/>
              </w:rPr>
            </w:pPr>
            <w:r w:rsidRPr="00EF7D67">
              <w:rPr>
                <w:rFonts w:ascii="Times New Roman" w:hAnsi="Times New Roman" w:cs="Times New Roman"/>
              </w:rPr>
              <w:t>Акт профилактического визита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1CB9" w:rsidRDefault="00891CB9" w:rsidP="00205640">
            <w:pPr>
              <w:jc w:val="both"/>
              <w:rPr>
                <w:rFonts w:ascii="Times New Roman" w:hAnsi="Times New Roman" w:cs="Times New Roman"/>
              </w:rPr>
            </w:pPr>
            <w:r w:rsidRPr="00EF7D67">
              <w:rPr>
                <w:rFonts w:ascii="Times New Roman" w:hAnsi="Times New Roman" w:cs="Times New Roman"/>
              </w:rPr>
              <w:t>Предостережение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1CB9" w:rsidTr="007D3D35">
        <w:trPr>
          <w:trHeight w:val="253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891CB9" w:rsidRDefault="00891C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891CB9" w:rsidTr="007D3D35">
        <w:trPr>
          <w:trHeight w:val="253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/>
          </w:tcPr>
          <w:p w:rsidR="00891CB9" w:rsidRDefault="00891CB9"/>
        </w:tc>
        <w:tc>
          <w:tcPr>
            <w:tcW w:w="8629" w:type="dxa"/>
            <w:gridSpan w:val="5"/>
            <w:vMerge/>
          </w:tcPr>
          <w:p w:rsidR="00891CB9" w:rsidRDefault="00891CB9"/>
        </w:tc>
        <w:tc>
          <w:tcPr>
            <w:tcW w:w="4861" w:type="dxa"/>
            <w:gridSpan w:val="2"/>
            <w:vMerge w:val="restart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891CB9" w:rsidTr="007D3D35">
        <w:trPr>
          <w:trHeight w:val="253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/>
          </w:tcPr>
          <w:p w:rsidR="00891CB9" w:rsidRDefault="00891CB9"/>
        </w:tc>
        <w:tc>
          <w:tcPr>
            <w:tcW w:w="8629" w:type="dxa"/>
            <w:gridSpan w:val="5"/>
            <w:vMerge/>
          </w:tcPr>
          <w:p w:rsidR="00891CB9" w:rsidRDefault="00891CB9"/>
        </w:tc>
        <w:tc>
          <w:tcPr>
            <w:tcW w:w="4861" w:type="dxa"/>
            <w:gridSpan w:val="2"/>
            <w:vMerge w:val="restart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891CB9" w:rsidTr="007D3D35">
        <w:trPr>
          <w:trHeight w:val="253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/>
          </w:tcPr>
          <w:p w:rsidR="00891CB9" w:rsidRDefault="00891CB9"/>
        </w:tc>
        <w:tc>
          <w:tcPr>
            <w:tcW w:w="8629" w:type="dxa"/>
            <w:gridSpan w:val="5"/>
            <w:vMerge/>
          </w:tcPr>
          <w:p w:rsidR="00891CB9" w:rsidRDefault="00891CB9"/>
        </w:tc>
        <w:tc>
          <w:tcPr>
            <w:tcW w:w="4861" w:type="dxa"/>
            <w:gridSpan w:val="2"/>
            <w:vMerge w:val="restart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891CB9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891CB9" w:rsidTr="007D3D35">
        <w:trPr>
          <w:trHeight w:val="802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контролируемыми лицами: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 w:rsidRPr="00725741">
              <w:rPr>
                <w:rFonts w:ascii="Times New Roman" w:hAnsi="Times New Roman" w:cs="Times New Roman"/>
                <w:lang w:eastAsia="ru-RU"/>
              </w:rPr>
              <w:t>1) наблюдение за соблюдением обязательных требований (мониторинг безопасности);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2) выездное обследование.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Контрольные мероприятия с взаимодействием с контролируемыми лицами: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1) инспекционный визит;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2) документарная проверка;</w:t>
            </w:r>
          </w:p>
          <w:p w:rsidR="00891CB9" w:rsidRPr="00725741" w:rsidRDefault="00891CB9" w:rsidP="00891CB9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 xml:space="preserve">3) выездная проверка; </w:t>
            </w:r>
          </w:p>
          <w:p w:rsidR="00891CB9" w:rsidRDefault="00891CB9" w:rsidP="00891CB9">
            <w:pPr>
              <w:pStyle w:val="af8"/>
            </w:pPr>
            <w:r w:rsidRPr="00725741">
              <w:rPr>
                <w:rFonts w:ascii="Times New Roman" w:hAnsi="Times New Roman" w:cs="Times New Roman"/>
              </w:rPr>
              <w:t>4) рейдовый осмотр.</w:t>
            </w:r>
            <w:bookmarkStart w:id="2" w:name="_GoBack"/>
            <w:bookmarkEnd w:id="2"/>
          </w:p>
        </w:tc>
      </w:tr>
      <w:tr w:rsidR="00891CB9" w:rsidTr="007D3D35">
        <w:trPr>
          <w:trHeight w:val="879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891CB9" w:rsidRDefault="00891CB9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91CB9" w:rsidTr="007D3D35">
        <w:trPr>
          <w:trHeight w:val="1124"/>
        </w:trPr>
        <w:tc>
          <w:tcPr>
            <w:tcW w:w="576" w:type="dxa"/>
            <w:vMerge/>
          </w:tcPr>
          <w:p w:rsidR="00891CB9" w:rsidRDefault="00891CB9"/>
        </w:tc>
        <w:tc>
          <w:tcPr>
            <w:tcW w:w="720" w:type="dxa"/>
            <w:vMerge w:val="restart"/>
            <w:vAlign w:val="center"/>
          </w:tcPr>
          <w:p w:rsidR="00891CB9" w:rsidRDefault="00891C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891CB9" w:rsidRDefault="00891CB9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891CB9" w:rsidRDefault="00891CB9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891CB9" w:rsidRDefault="00891C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891CB9" w:rsidRDefault="00891C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5B004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C94BC0" w:rsidRDefault="00C94BC0">
      <w:pPr>
        <w:pStyle w:val="af8"/>
        <w:jc w:val="right"/>
        <w:rPr>
          <w:rFonts w:ascii="Times New Roman" w:hAnsi="Times New Roman" w:cs="Times New Roman"/>
        </w:rPr>
      </w:pPr>
    </w:p>
    <w:p w:rsidR="00C94BC0" w:rsidRPr="00635198" w:rsidRDefault="00D22DF5" w:rsidP="00635198">
      <w:pPr>
        <w:pStyle w:val="af8"/>
        <w:ind w:left="7797"/>
        <w:jc w:val="right"/>
        <w:rPr>
          <w:rFonts w:ascii="Times New Roman" w:hAnsi="Times New Roman" w:cs="Times New Roman"/>
          <w:b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 xml:space="preserve">Специалист-эксперт  Управления контроля </w:t>
      </w:r>
      <w:r w:rsidR="000D603C" w:rsidRPr="00635198">
        <w:rPr>
          <w:rFonts w:ascii="Times New Roman" w:hAnsi="Times New Roman" w:cs="Times New Roman"/>
          <w:b/>
          <w:u w:val="single"/>
        </w:rPr>
        <w:t xml:space="preserve"> администрации города Югорска </w:t>
      </w:r>
      <w:r w:rsidRPr="00635198">
        <w:rPr>
          <w:rFonts w:ascii="Times New Roman" w:hAnsi="Times New Roman" w:cs="Times New Roman"/>
          <w:b/>
          <w:u w:val="single"/>
        </w:rPr>
        <w:t xml:space="preserve">Халиков </w:t>
      </w:r>
      <w:r w:rsidR="000D603C" w:rsidRPr="00635198">
        <w:rPr>
          <w:rFonts w:ascii="Times New Roman" w:hAnsi="Times New Roman" w:cs="Times New Roman"/>
          <w:b/>
          <w:u w:val="single"/>
        </w:rPr>
        <w:t>Руслан Нагимович</w:t>
      </w:r>
    </w:p>
    <w:p w:rsidR="00C94BC0" w:rsidRDefault="005B004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C94BC0" w:rsidRPr="00635198" w:rsidRDefault="005B0044">
      <w:pPr>
        <w:pStyle w:val="af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>Тел.:</w:t>
      </w:r>
      <w:r w:rsidR="00635198" w:rsidRPr="00635198">
        <w:rPr>
          <w:rFonts w:ascii="Times New Roman" w:hAnsi="Times New Roman" w:cs="Times New Roman"/>
          <w:b/>
          <w:u w:val="single"/>
        </w:rPr>
        <w:t xml:space="preserve"> 8 (34675) 5-00-90</w:t>
      </w:r>
    </w:p>
    <w:sectPr w:rsidR="00C94BC0" w:rsidRPr="0063519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85" w:rsidRDefault="00467A85">
      <w:pPr>
        <w:spacing w:after="0" w:line="240" w:lineRule="auto"/>
      </w:pPr>
      <w:r>
        <w:separator/>
      </w:r>
    </w:p>
  </w:endnote>
  <w:endnote w:type="continuationSeparator" w:id="0">
    <w:p w:rsidR="00467A85" w:rsidRDefault="0046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85" w:rsidRDefault="00467A85">
      <w:pPr>
        <w:spacing w:after="0" w:line="240" w:lineRule="auto"/>
      </w:pPr>
      <w:r>
        <w:separator/>
      </w:r>
    </w:p>
  </w:footnote>
  <w:footnote w:type="continuationSeparator" w:id="0">
    <w:p w:rsidR="00467A85" w:rsidRDefault="00467A85">
      <w:pPr>
        <w:spacing w:after="0" w:line="240" w:lineRule="auto"/>
      </w:pPr>
      <w:r>
        <w:continuationSeparator/>
      </w:r>
    </w:p>
  </w:footnote>
  <w:footnote w:id="1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E161FD" w:rsidRDefault="00E161F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161FD" w:rsidRDefault="00E161F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891CB9" w:rsidRDefault="00891CB9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891CB9" w:rsidRDefault="00891C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891CB9" w:rsidRDefault="00891C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891CB9" w:rsidRDefault="00891C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891CB9" w:rsidRDefault="00891C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C0"/>
    <w:rsid w:val="00056C96"/>
    <w:rsid w:val="000C08A9"/>
    <w:rsid w:val="000C21D5"/>
    <w:rsid w:val="000D603C"/>
    <w:rsid w:val="002B459F"/>
    <w:rsid w:val="0031148E"/>
    <w:rsid w:val="00467A85"/>
    <w:rsid w:val="005828DC"/>
    <w:rsid w:val="005B0044"/>
    <w:rsid w:val="00624613"/>
    <w:rsid w:val="00635198"/>
    <w:rsid w:val="006A6308"/>
    <w:rsid w:val="00785AA5"/>
    <w:rsid w:val="007D3D35"/>
    <w:rsid w:val="00891CB9"/>
    <w:rsid w:val="00A178D9"/>
    <w:rsid w:val="00A95C84"/>
    <w:rsid w:val="00AD32AD"/>
    <w:rsid w:val="00C64E29"/>
    <w:rsid w:val="00C72926"/>
    <w:rsid w:val="00C94BC0"/>
    <w:rsid w:val="00D22DF5"/>
    <w:rsid w:val="00DB4CAF"/>
    <w:rsid w:val="00E161FD"/>
    <w:rsid w:val="00E30FDD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Халиков Руслан Нагимович</cp:lastModifiedBy>
  <cp:revision>4</cp:revision>
  <dcterms:created xsi:type="dcterms:W3CDTF">2025-10-08T03:59:00Z</dcterms:created>
  <dcterms:modified xsi:type="dcterms:W3CDTF">2025-10-08T07:11:00Z</dcterms:modified>
</cp:coreProperties>
</file>